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A969" w14:textId="49DD1E36" w:rsidR="006467CD" w:rsidRDefault="006467CD" w:rsidP="006467CD">
      <w:pPr>
        <w:pStyle w:val="Nagwek1"/>
        <w:rPr>
          <w:lang w:val="en-US"/>
        </w:rPr>
      </w:pPr>
      <w:r>
        <w:rPr>
          <w:lang w:val="en-US"/>
        </w:rPr>
        <w:t>Diversity Policy</w:t>
      </w:r>
    </w:p>
    <w:p w14:paraId="2ECF2355" w14:textId="77777777" w:rsidR="006467CD" w:rsidRPr="006467CD" w:rsidRDefault="006467CD" w:rsidP="006467CD">
      <w:pPr>
        <w:rPr>
          <w:lang w:val="en-US"/>
        </w:rPr>
      </w:pPr>
    </w:p>
    <w:p w14:paraId="6298CA0E" w14:textId="77777777" w:rsidR="006467CD" w:rsidRPr="006467CD" w:rsidRDefault="006467CD" w:rsidP="006467CD">
      <w:pPr>
        <w:jc w:val="both"/>
        <w:rPr>
          <w:rFonts w:cstheme="minorHAnsi"/>
          <w:lang w:val="en-US"/>
        </w:rPr>
      </w:pPr>
      <w:r w:rsidRPr="006467CD">
        <w:rPr>
          <w:rFonts w:cstheme="minorHAnsi"/>
          <w:lang w:val="en-US"/>
        </w:rPr>
        <w:t>Introduction</w:t>
      </w:r>
    </w:p>
    <w:p w14:paraId="1A8C5BAC" w14:textId="77777777" w:rsidR="006467CD" w:rsidRPr="006467CD" w:rsidRDefault="006467CD" w:rsidP="006467CD">
      <w:pPr>
        <w:jc w:val="both"/>
        <w:rPr>
          <w:rFonts w:cstheme="minorHAnsi"/>
          <w:lang w:val="en-US"/>
        </w:rPr>
      </w:pPr>
      <w:r w:rsidRPr="006467CD">
        <w:rPr>
          <w:rFonts w:cstheme="minorHAnsi"/>
          <w:lang w:val="en-US"/>
        </w:rPr>
        <w:t xml:space="preserve">Our company is committed to promoting diversity, equality and integration in every aspect of our operations. We believe that a diverse working environment fosters innovation, increases employee engagement and helps better understand and meet the needs of our customers. </w:t>
      </w:r>
    </w:p>
    <w:p w14:paraId="15A58E22" w14:textId="77777777" w:rsidR="006467CD" w:rsidRPr="006467CD" w:rsidRDefault="006467CD" w:rsidP="006467CD">
      <w:pPr>
        <w:jc w:val="both"/>
        <w:rPr>
          <w:rFonts w:cstheme="minorHAnsi"/>
          <w:lang w:val="en-US"/>
        </w:rPr>
      </w:pPr>
      <w:r w:rsidRPr="006467CD">
        <w:rPr>
          <w:rFonts w:cstheme="minorHAnsi"/>
          <w:lang w:val="en-US"/>
        </w:rPr>
        <w:t>Our diversity policy is an integral part of our ESG (Environmental, Social, and Governance) strategy, emphasizing our commitment to creating a fair and inclusive workplace.</w:t>
      </w:r>
    </w:p>
    <w:p w14:paraId="0B4A6E1E" w14:textId="77777777" w:rsidR="006467CD" w:rsidRPr="006467CD" w:rsidRDefault="006467CD" w:rsidP="006467CD">
      <w:pPr>
        <w:jc w:val="both"/>
        <w:rPr>
          <w:rFonts w:cstheme="minorHAnsi"/>
          <w:lang w:val="en-US"/>
        </w:rPr>
      </w:pPr>
      <w:r w:rsidRPr="006467CD">
        <w:rPr>
          <w:rFonts w:cstheme="minorHAnsi"/>
          <w:lang w:val="en-US"/>
        </w:rPr>
        <w:t>Goals and Commitments</w:t>
      </w:r>
    </w:p>
    <w:p w14:paraId="416F3E7A" w14:textId="78706C41" w:rsidR="006467CD" w:rsidRPr="006467CD" w:rsidRDefault="006467CD" w:rsidP="006467CD">
      <w:pPr>
        <w:jc w:val="both"/>
        <w:rPr>
          <w:rFonts w:cstheme="minorHAnsi"/>
          <w:lang w:val="en-US"/>
        </w:rPr>
      </w:pPr>
      <w:r w:rsidRPr="006467CD">
        <w:rPr>
          <w:rFonts w:cstheme="minorHAnsi"/>
          <w:lang w:val="en-US"/>
        </w:rPr>
        <w:t>1.</w:t>
      </w:r>
      <w:r w:rsidR="00EC4C1C">
        <w:rPr>
          <w:rFonts w:cstheme="minorHAnsi"/>
          <w:lang w:val="en-US"/>
        </w:rPr>
        <w:t xml:space="preserve"> </w:t>
      </w:r>
      <w:r w:rsidRPr="006467CD">
        <w:rPr>
          <w:rFonts w:cstheme="minorHAnsi"/>
          <w:lang w:val="en-US"/>
        </w:rPr>
        <w:t>Promoting Equal Opportunities</w:t>
      </w:r>
    </w:p>
    <w:p w14:paraId="63BCB665" w14:textId="73615C91"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Ensuring equal opportunities in recruitment, promotion, training and remuneration processes.</w:t>
      </w:r>
    </w:p>
    <w:p w14:paraId="59AE25FE" w14:textId="3B637073"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Eliminating all forms of discrimination based on race, gender, age, sexual orientation, religion, ethnic origin, disability or any other characteristic.</w:t>
      </w:r>
    </w:p>
    <w:p w14:paraId="08F4714B" w14:textId="03C2B4CE" w:rsidR="006467CD" w:rsidRPr="006467CD" w:rsidRDefault="006467CD" w:rsidP="006467CD">
      <w:pPr>
        <w:jc w:val="both"/>
        <w:rPr>
          <w:rFonts w:cstheme="minorHAnsi"/>
          <w:lang w:val="en-US"/>
        </w:rPr>
      </w:pPr>
      <w:r w:rsidRPr="006467CD">
        <w:rPr>
          <w:rFonts w:cstheme="minorHAnsi"/>
          <w:lang w:val="en-US"/>
        </w:rPr>
        <w:t>2.</w:t>
      </w:r>
      <w:r w:rsidR="00EC4C1C">
        <w:rPr>
          <w:rFonts w:cstheme="minorHAnsi"/>
          <w:lang w:val="en-US"/>
        </w:rPr>
        <w:t xml:space="preserve"> </w:t>
      </w:r>
      <w:r w:rsidRPr="006467CD">
        <w:rPr>
          <w:rFonts w:cstheme="minorHAnsi"/>
          <w:lang w:val="en-US"/>
        </w:rPr>
        <w:t>Creating an Inclusive Working Environment</w:t>
      </w:r>
    </w:p>
    <w:p w14:paraId="24AB12EE" w14:textId="6D7C4DD7"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Building a culture where every employee feels respected, valued, and included.</w:t>
      </w:r>
    </w:p>
    <w:p w14:paraId="5201EF47" w14:textId="5C565754"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Promoting open communication and cooperation between different groups of employees.</w:t>
      </w:r>
    </w:p>
    <w:p w14:paraId="2F456730" w14:textId="62CC3EE8" w:rsidR="006467CD" w:rsidRPr="006467CD" w:rsidRDefault="006467CD" w:rsidP="006467CD">
      <w:pPr>
        <w:jc w:val="both"/>
        <w:rPr>
          <w:rFonts w:cstheme="minorHAnsi"/>
          <w:lang w:val="en-US"/>
        </w:rPr>
      </w:pPr>
      <w:r w:rsidRPr="006467CD">
        <w:rPr>
          <w:rFonts w:cstheme="minorHAnsi"/>
          <w:lang w:val="en-US"/>
        </w:rPr>
        <w:t>3.</w:t>
      </w:r>
      <w:r w:rsidR="00EC4C1C">
        <w:rPr>
          <w:rFonts w:cstheme="minorHAnsi"/>
          <w:lang w:val="en-US"/>
        </w:rPr>
        <w:t xml:space="preserve"> </w:t>
      </w:r>
      <w:r w:rsidRPr="006467CD">
        <w:rPr>
          <w:rFonts w:cstheme="minorHAnsi"/>
          <w:lang w:val="en-US"/>
        </w:rPr>
        <w:t>Supporting Diversity in the Board and Management</w:t>
      </w:r>
    </w:p>
    <w:p w14:paraId="14946199" w14:textId="2EF3DCE5"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Striving to ensure diversity in the composition of the board and management team.</w:t>
      </w:r>
    </w:p>
    <w:p w14:paraId="1B70F729" w14:textId="0500B065"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Promoting internal promotions with a focus on diverse talents.</w:t>
      </w:r>
    </w:p>
    <w:p w14:paraId="57C6ABCC" w14:textId="55293465" w:rsidR="006467CD" w:rsidRPr="006467CD" w:rsidRDefault="006467CD" w:rsidP="006467CD">
      <w:pPr>
        <w:jc w:val="both"/>
        <w:rPr>
          <w:rFonts w:cstheme="minorHAnsi"/>
          <w:lang w:val="en-US"/>
        </w:rPr>
      </w:pPr>
      <w:r w:rsidRPr="006467CD">
        <w:rPr>
          <w:rFonts w:cstheme="minorHAnsi"/>
          <w:lang w:val="en-US"/>
        </w:rPr>
        <w:t>4.</w:t>
      </w:r>
      <w:r w:rsidR="00EC4C1C">
        <w:rPr>
          <w:rFonts w:cstheme="minorHAnsi"/>
          <w:lang w:val="en-US"/>
        </w:rPr>
        <w:t xml:space="preserve"> </w:t>
      </w:r>
      <w:r w:rsidRPr="006467CD">
        <w:rPr>
          <w:rFonts w:cstheme="minorHAnsi"/>
          <w:lang w:val="en-US"/>
        </w:rPr>
        <w:t>Education and Awareness</w:t>
      </w:r>
    </w:p>
    <w:p w14:paraId="7BB98B05" w14:textId="33B32D93"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Organizing training on diversity, equality and integration for all employees.</w:t>
      </w:r>
    </w:p>
    <w:p w14:paraId="18173DD3" w14:textId="161DB910" w:rsidR="006467CD" w:rsidRPr="006467CD" w:rsidRDefault="006467CD" w:rsidP="006467CD">
      <w:pPr>
        <w:jc w:val="both"/>
        <w:rPr>
          <w:rFonts w:cstheme="minorHAnsi"/>
          <w:lang w:val="en-US"/>
        </w:rPr>
      </w:pPr>
      <w:r w:rsidRPr="006467CD">
        <w:rPr>
          <w:rFonts w:cstheme="minorHAnsi"/>
          <w:lang w:val="en-US"/>
        </w:rPr>
        <w:lastRenderedPageBreak/>
        <w:t>-</w:t>
      </w:r>
      <w:r w:rsidR="00EC4C1C">
        <w:rPr>
          <w:rFonts w:cstheme="minorHAnsi"/>
          <w:lang w:val="en-US"/>
        </w:rPr>
        <w:t xml:space="preserve"> </w:t>
      </w:r>
      <w:r w:rsidRPr="006467CD">
        <w:rPr>
          <w:rFonts w:cstheme="minorHAnsi"/>
          <w:lang w:val="en-US"/>
        </w:rPr>
        <w:t>Increasing awareness of the benefits of diversity in the workplace.</w:t>
      </w:r>
    </w:p>
    <w:p w14:paraId="4EAB76A2" w14:textId="034C3D86" w:rsidR="006467CD" w:rsidRPr="006467CD" w:rsidRDefault="006467CD" w:rsidP="006467CD">
      <w:pPr>
        <w:jc w:val="both"/>
        <w:rPr>
          <w:rFonts w:cstheme="minorHAnsi"/>
          <w:lang w:val="en-US"/>
        </w:rPr>
      </w:pPr>
      <w:r w:rsidRPr="006467CD">
        <w:rPr>
          <w:rFonts w:cstheme="minorHAnsi"/>
          <w:lang w:val="en-US"/>
        </w:rPr>
        <w:t>5.</w:t>
      </w:r>
      <w:r w:rsidR="00EC4C1C">
        <w:rPr>
          <w:rFonts w:cstheme="minorHAnsi"/>
          <w:lang w:val="en-US"/>
        </w:rPr>
        <w:t xml:space="preserve"> </w:t>
      </w:r>
      <w:r w:rsidRPr="006467CD">
        <w:rPr>
          <w:rFonts w:cstheme="minorHAnsi"/>
          <w:lang w:val="en-US"/>
        </w:rPr>
        <w:t>Cooperation with Stakeholders</w:t>
      </w:r>
    </w:p>
    <w:p w14:paraId="22F2FA6C" w14:textId="374E14AC"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Cooperating with suppliers, clients and business partners who also promote diversity and integration values.</w:t>
      </w:r>
    </w:p>
    <w:p w14:paraId="5E7DC558" w14:textId="2E105710"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Participating in social and industry initiatives promoting diversity.</w:t>
      </w:r>
    </w:p>
    <w:p w14:paraId="1A089F15" w14:textId="77777777" w:rsidR="006467CD" w:rsidRPr="006467CD" w:rsidRDefault="006467CD" w:rsidP="006467CD">
      <w:pPr>
        <w:jc w:val="both"/>
        <w:rPr>
          <w:rFonts w:cstheme="minorHAnsi"/>
          <w:lang w:val="en-US"/>
        </w:rPr>
      </w:pPr>
      <w:r w:rsidRPr="006467CD">
        <w:rPr>
          <w:rFonts w:cstheme="minorHAnsi"/>
          <w:lang w:val="en-US"/>
        </w:rPr>
        <w:t>Strategies and Actions</w:t>
      </w:r>
    </w:p>
    <w:p w14:paraId="57CBA180" w14:textId="54C6051C" w:rsidR="006467CD" w:rsidRPr="006467CD" w:rsidRDefault="006467CD" w:rsidP="006467CD">
      <w:pPr>
        <w:jc w:val="both"/>
        <w:rPr>
          <w:rFonts w:cstheme="minorHAnsi"/>
          <w:lang w:val="en-US"/>
        </w:rPr>
      </w:pPr>
      <w:r w:rsidRPr="006467CD">
        <w:rPr>
          <w:rFonts w:cstheme="minorHAnsi"/>
          <w:lang w:val="en-US"/>
        </w:rPr>
        <w:t>1.</w:t>
      </w:r>
      <w:r w:rsidR="00EC4C1C">
        <w:rPr>
          <w:rFonts w:cstheme="minorHAnsi"/>
          <w:lang w:val="en-US"/>
        </w:rPr>
        <w:t xml:space="preserve"> </w:t>
      </w:r>
      <w:r w:rsidRPr="006467CD">
        <w:rPr>
          <w:rFonts w:cstheme="minorHAnsi"/>
          <w:lang w:val="en-US"/>
        </w:rPr>
        <w:t>Recruitment and Employment</w:t>
      </w:r>
    </w:p>
    <w:p w14:paraId="39FF802B" w14:textId="757C1EE3"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Applying transparent and fair recruitment processes that ensure equal opportunities for all the candidates.</w:t>
      </w:r>
    </w:p>
    <w:p w14:paraId="19E4D534" w14:textId="3652EBFA"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Actively seeking talents from diverse backgrounds and demographic groups.</w:t>
      </w:r>
    </w:p>
    <w:p w14:paraId="7AD3EEB9" w14:textId="2856D306" w:rsidR="006467CD" w:rsidRPr="006467CD" w:rsidRDefault="006467CD" w:rsidP="006467CD">
      <w:pPr>
        <w:jc w:val="both"/>
        <w:rPr>
          <w:rFonts w:cstheme="minorHAnsi"/>
          <w:lang w:val="en-US"/>
        </w:rPr>
      </w:pPr>
      <w:r w:rsidRPr="006467CD">
        <w:rPr>
          <w:rFonts w:cstheme="minorHAnsi"/>
          <w:lang w:val="en-US"/>
        </w:rPr>
        <w:t>2.</w:t>
      </w:r>
      <w:r w:rsidR="00EC4C1C">
        <w:rPr>
          <w:rFonts w:cstheme="minorHAnsi"/>
          <w:lang w:val="en-US"/>
        </w:rPr>
        <w:t xml:space="preserve"> </w:t>
      </w:r>
      <w:r w:rsidRPr="006467CD">
        <w:rPr>
          <w:rFonts w:cstheme="minorHAnsi"/>
          <w:lang w:val="en-US"/>
        </w:rPr>
        <w:t>Development and Promotion</w:t>
      </w:r>
    </w:p>
    <w:p w14:paraId="2F7A304F" w14:textId="2B56E9CF"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Ensuring equal access to training and development programs.</w:t>
      </w:r>
    </w:p>
    <w:p w14:paraId="7D9C1F56" w14:textId="05A7E1D1"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Setting clear and fair promotion criteria that encourage diversity in management.</w:t>
      </w:r>
    </w:p>
    <w:p w14:paraId="696B21DF" w14:textId="44461545" w:rsidR="006467CD" w:rsidRPr="006467CD" w:rsidRDefault="006467CD" w:rsidP="006467CD">
      <w:pPr>
        <w:jc w:val="both"/>
        <w:rPr>
          <w:rFonts w:cstheme="minorHAnsi"/>
          <w:lang w:val="en-US"/>
        </w:rPr>
      </w:pPr>
      <w:r w:rsidRPr="006467CD">
        <w:rPr>
          <w:rFonts w:cstheme="minorHAnsi"/>
          <w:lang w:val="en-US"/>
        </w:rPr>
        <w:t>3.</w:t>
      </w:r>
      <w:r w:rsidR="00EC4C1C">
        <w:rPr>
          <w:rFonts w:cstheme="minorHAnsi"/>
          <w:lang w:val="en-US"/>
        </w:rPr>
        <w:t xml:space="preserve"> </w:t>
      </w:r>
      <w:r w:rsidRPr="006467CD">
        <w:rPr>
          <w:rFonts w:cstheme="minorHAnsi"/>
          <w:lang w:val="en-US"/>
        </w:rPr>
        <w:t>Anti-Discrimination Policy</w:t>
      </w:r>
    </w:p>
    <w:p w14:paraId="4DFF5D20" w14:textId="7BE54E64"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Implementing and enforcing zero-tolerance policies against all forms of discrimination and harassment.</w:t>
      </w:r>
    </w:p>
    <w:p w14:paraId="58A46ACB" w14:textId="3F455526" w:rsidR="006467CD" w:rsidRPr="006467CD" w:rsidRDefault="006467CD" w:rsidP="006467CD">
      <w:pPr>
        <w:jc w:val="both"/>
        <w:rPr>
          <w:rFonts w:cstheme="minorHAnsi"/>
          <w:lang w:val="en-US"/>
        </w:rPr>
      </w:pPr>
      <w:r w:rsidRPr="006467CD">
        <w:rPr>
          <w:rFonts w:cstheme="minorHAnsi"/>
          <w:lang w:val="en-US"/>
        </w:rPr>
        <w:t>4.</w:t>
      </w:r>
      <w:r w:rsidR="00EC4C1C">
        <w:rPr>
          <w:rFonts w:cstheme="minorHAnsi"/>
          <w:lang w:val="en-US"/>
        </w:rPr>
        <w:t xml:space="preserve"> </w:t>
      </w:r>
      <w:r w:rsidRPr="006467CD">
        <w:rPr>
          <w:rFonts w:cstheme="minorHAnsi"/>
          <w:lang w:val="en-US"/>
        </w:rPr>
        <w:t>Employee Support</w:t>
      </w:r>
    </w:p>
    <w:p w14:paraId="36A1C33D" w14:textId="5F905A5C"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Promoting flexible work arrangements that address the diverse needs of employees.</w:t>
      </w:r>
    </w:p>
    <w:p w14:paraId="76CBDEA9" w14:textId="77777777" w:rsidR="006467CD" w:rsidRPr="006467CD" w:rsidRDefault="006467CD" w:rsidP="006467CD">
      <w:pPr>
        <w:jc w:val="both"/>
        <w:rPr>
          <w:rFonts w:cstheme="minorHAnsi"/>
          <w:lang w:val="en-US"/>
        </w:rPr>
      </w:pPr>
      <w:r w:rsidRPr="006467CD">
        <w:rPr>
          <w:rFonts w:cstheme="minorHAnsi"/>
          <w:lang w:val="en-US"/>
        </w:rPr>
        <w:t>Monitoring and Reporting</w:t>
      </w:r>
    </w:p>
    <w:p w14:paraId="062A01FE" w14:textId="2CF4AC84" w:rsidR="006467CD" w:rsidRPr="006467CD" w:rsidRDefault="006467CD" w:rsidP="006467CD">
      <w:pPr>
        <w:jc w:val="both"/>
        <w:rPr>
          <w:rFonts w:cstheme="minorHAnsi"/>
          <w:lang w:val="en-US"/>
        </w:rPr>
      </w:pPr>
      <w:r w:rsidRPr="006467CD">
        <w:rPr>
          <w:rFonts w:cstheme="minorHAnsi"/>
          <w:lang w:val="en-US"/>
        </w:rPr>
        <w:t>1.</w:t>
      </w:r>
      <w:r w:rsidR="00EC4C1C">
        <w:rPr>
          <w:rFonts w:cstheme="minorHAnsi"/>
          <w:lang w:val="en-US"/>
        </w:rPr>
        <w:t xml:space="preserve"> </w:t>
      </w:r>
      <w:r w:rsidRPr="006467CD">
        <w:rPr>
          <w:rFonts w:cstheme="minorHAnsi"/>
          <w:lang w:val="en-US"/>
        </w:rPr>
        <w:t>Monitoring System</w:t>
      </w:r>
    </w:p>
    <w:p w14:paraId="149B25D9" w14:textId="0F50B9F3"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 xml:space="preserve">Regularly monitoring and </w:t>
      </w:r>
      <w:proofErr w:type="spellStart"/>
      <w:r w:rsidRPr="006467CD">
        <w:rPr>
          <w:rFonts w:cstheme="minorHAnsi"/>
          <w:lang w:val="en-US"/>
        </w:rPr>
        <w:t>analysing</w:t>
      </w:r>
      <w:proofErr w:type="spellEnd"/>
      <w:r w:rsidRPr="006467CD">
        <w:rPr>
          <w:rFonts w:cstheme="minorHAnsi"/>
          <w:lang w:val="en-US"/>
        </w:rPr>
        <w:t xml:space="preserve"> data on diversity in our company.</w:t>
      </w:r>
    </w:p>
    <w:p w14:paraId="04C32431" w14:textId="3FD789BF" w:rsidR="006467CD" w:rsidRPr="006467CD" w:rsidRDefault="006467CD" w:rsidP="006467CD">
      <w:pPr>
        <w:jc w:val="both"/>
        <w:rPr>
          <w:rFonts w:cstheme="minorHAnsi"/>
          <w:lang w:val="en-US"/>
        </w:rPr>
      </w:pPr>
      <w:r w:rsidRPr="006467CD">
        <w:rPr>
          <w:rFonts w:cstheme="minorHAnsi"/>
          <w:lang w:val="en-US"/>
        </w:rPr>
        <w:lastRenderedPageBreak/>
        <w:t>-</w:t>
      </w:r>
      <w:r w:rsidR="00EC4C1C">
        <w:rPr>
          <w:rFonts w:cstheme="minorHAnsi"/>
          <w:lang w:val="en-US"/>
        </w:rPr>
        <w:t xml:space="preserve"> </w:t>
      </w:r>
      <w:r w:rsidRPr="006467CD">
        <w:rPr>
          <w:rFonts w:cstheme="minorHAnsi"/>
          <w:lang w:val="en-US"/>
        </w:rPr>
        <w:t>Setting measurable goals and performance indicators (KPIs) in the area of diversity and integration.</w:t>
      </w:r>
    </w:p>
    <w:p w14:paraId="4D502D23" w14:textId="77777777" w:rsidR="006467CD" w:rsidRPr="006467CD" w:rsidRDefault="006467CD" w:rsidP="006467CD">
      <w:pPr>
        <w:jc w:val="both"/>
        <w:rPr>
          <w:rFonts w:cstheme="minorHAnsi"/>
          <w:lang w:val="en-US"/>
        </w:rPr>
      </w:pPr>
      <w:r w:rsidRPr="006467CD">
        <w:rPr>
          <w:rFonts w:cstheme="minorHAnsi"/>
          <w:lang w:val="en-US"/>
        </w:rPr>
        <w:t>2.</w:t>
      </w:r>
      <w:r w:rsidRPr="006467CD">
        <w:rPr>
          <w:rFonts w:cstheme="minorHAnsi"/>
          <w:lang w:val="en-US"/>
        </w:rPr>
        <w:tab/>
        <w:t>Reporting Progress</w:t>
      </w:r>
    </w:p>
    <w:p w14:paraId="1AB00C65" w14:textId="6B6D14DD" w:rsidR="006467CD" w:rsidRPr="006467CD" w:rsidRDefault="006467CD" w:rsidP="006467CD">
      <w:pPr>
        <w:jc w:val="both"/>
        <w:rPr>
          <w:rFonts w:cstheme="minorHAnsi"/>
          <w:lang w:val="en-US"/>
        </w:rPr>
      </w:pPr>
      <w:r w:rsidRPr="006467CD">
        <w:rPr>
          <w:rFonts w:cstheme="minorHAnsi"/>
          <w:lang w:val="en-US"/>
        </w:rPr>
        <w:t>-</w:t>
      </w:r>
      <w:r w:rsidR="00EC4C1C">
        <w:rPr>
          <w:rFonts w:cstheme="minorHAnsi"/>
          <w:lang w:val="en-US"/>
        </w:rPr>
        <w:t xml:space="preserve"> </w:t>
      </w:r>
      <w:r w:rsidRPr="006467CD">
        <w:rPr>
          <w:rFonts w:cstheme="minorHAnsi"/>
          <w:lang w:val="en-US"/>
        </w:rPr>
        <w:t>Regularly publishing reports on our actions and progress in diversity according to the international ESG standards.</w:t>
      </w:r>
    </w:p>
    <w:p w14:paraId="6ED8457F" w14:textId="08517600" w:rsidR="006467CD" w:rsidRPr="00EC4C1C" w:rsidRDefault="00EC4C1C" w:rsidP="00EC4C1C">
      <w:pPr>
        <w:jc w:val="both"/>
        <w:rPr>
          <w:rFonts w:cstheme="minorHAnsi"/>
          <w:lang w:val="en-US"/>
        </w:rPr>
      </w:pPr>
      <w:r>
        <w:rPr>
          <w:rFonts w:cstheme="minorHAnsi"/>
          <w:lang w:val="en-US"/>
        </w:rPr>
        <w:t xml:space="preserve">- </w:t>
      </w:r>
      <w:r w:rsidR="006467CD" w:rsidRPr="00EC4C1C">
        <w:rPr>
          <w:rFonts w:cstheme="minorHAnsi"/>
          <w:lang w:val="en-US"/>
        </w:rPr>
        <w:t>Maintaining an open dialogue with stakeholders about our efforts to promote diversity.</w:t>
      </w:r>
    </w:p>
    <w:p w14:paraId="79EF0BEC" w14:textId="77777777" w:rsidR="006467CD" w:rsidRPr="006467CD" w:rsidRDefault="006467CD" w:rsidP="006467CD">
      <w:pPr>
        <w:jc w:val="both"/>
        <w:rPr>
          <w:rFonts w:cstheme="minorHAnsi"/>
          <w:lang w:val="en-US"/>
        </w:rPr>
      </w:pPr>
      <w:r w:rsidRPr="006467CD">
        <w:rPr>
          <w:rFonts w:cstheme="minorHAnsi"/>
          <w:lang w:val="en-US"/>
        </w:rPr>
        <w:t>Continuous Improvement</w:t>
      </w:r>
    </w:p>
    <w:p w14:paraId="62A9676D" w14:textId="77777777" w:rsidR="006467CD" w:rsidRPr="006467CD" w:rsidRDefault="006467CD" w:rsidP="006467CD">
      <w:pPr>
        <w:jc w:val="both"/>
        <w:rPr>
          <w:rFonts w:cstheme="minorHAnsi"/>
          <w:lang w:val="en-US"/>
        </w:rPr>
      </w:pPr>
      <w:r w:rsidRPr="006467CD">
        <w:rPr>
          <w:rFonts w:cstheme="minorHAnsi"/>
          <w:lang w:val="en-US"/>
        </w:rPr>
        <w:t>1. Strategy Evaluation and Adjustment</w:t>
      </w:r>
    </w:p>
    <w:p w14:paraId="17F1A2D5" w14:textId="0708AB01" w:rsidR="006467CD" w:rsidRPr="006467CD" w:rsidRDefault="006467CD" w:rsidP="006467CD">
      <w:pPr>
        <w:jc w:val="both"/>
        <w:rPr>
          <w:rFonts w:cstheme="minorHAnsi"/>
          <w:lang w:val="en-US"/>
        </w:rPr>
      </w:pPr>
      <w:r w:rsidRPr="006467CD">
        <w:rPr>
          <w:rFonts w:cstheme="minorHAnsi"/>
          <w:lang w:val="en-US"/>
        </w:rPr>
        <w:t xml:space="preserve">   -</w:t>
      </w:r>
      <w:r w:rsidR="00EC4C1C">
        <w:rPr>
          <w:rFonts w:cstheme="minorHAnsi"/>
          <w:lang w:val="en-US"/>
        </w:rPr>
        <w:t xml:space="preserve"> </w:t>
      </w:r>
      <w:r w:rsidRPr="006467CD">
        <w:rPr>
          <w:rFonts w:cstheme="minorHAnsi"/>
          <w:lang w:val="en-US"/>
        </w:rPr>
        <w:t xml:space="preserve">Regularly reviewing and updating a diversity policy based on the changeable needs and best practices. </w:t>
      </w:r>
    </w:p>
    <w:p w14:paraId="2C007DE0" w14:textId="77777777" w:rsidR="006467CD" w:rsidRPr="006467CD" w:rsidRDefault="006467CD" w:rsidP="006467CD">
      <w:pPr>
        <w:jc w:val="both"/>
        <w:rPr>
          <w:rFonts w:cstheme="minorHAnsi"/>
          <w:lang w:val="en-US"/>
        </w:rPr>
      </w:pPr>
      <w:r w:rsidRPr="006467CD">
        <w:rPr>
          <w:rFonts w:cstheme="minorHAnsi"/>
          <w:lang w:val="en-US"/>
        </w:rPr>
        <w:t xml:space="preserve">   - Introducing corrective actions and innovative solutions on the basis of the data collected and the employee opinions. </w:t>
      </w:r>
    </w:p>
    <w:p w14:paraId="29E9D291" w14:textId="77777777" w:rsidR="006467CD" w:rsidRPr="006467CD" w:rsidRDefault="006467CD" w:rsidP="006467CD">
      <w:pPr>
        <w:jc w:val="both"/>
        <w:rPr>
          <w:rFonts w:cstheme="minorHAnsi"/>
          <w:lang w:val="en-US"/>
        </w:rPr>
      </w:pPr>
      <w:r w:rsidRPr="006467CD">
        <w:rPr>
          <w:rFonts w:cstheme="minorHAnsi"/>
          <w:lang w:val="en-US"/>
        </w:rPr>
        <w:t>2. Promotion of Best Practices</w:t>
      </w:r>
    </w:p>
    <w:p w14:paraId="0A3FD680" w14:textId="77777777" w:rsidR="006467CD" w:rsidRPr="006467CD" w:rsidRDefault="006467CD" w:rsidP="006467CD">
      <w:pPr>
        <w:jc w:val="both"/>
        <w:rPr>
          <w:rFonts w:cstheme="minorHAnsi"/>
          <w:lang w:val="en-US"/>
        </w:rPr>
      </w:pPr>
      <w:r w:rsidRPr="006467CD">
        <w:rPr>
          <w:rFonts w:cstheme="minorHAnsi"/>
          <w:lang w:val="en-US"/>
        </w:rPr>
        <w:t xml:space="preserve">   - Sharing experiences and best practices with other </w:t>
      </w:r>
      <w:proofErr w:type="spellStart"/>
      <w:r w:rsidRPr="006467CD">
        <w:rPr>
          <w:rFonts w:cstheme="minorHAnsi"/>
          <w:lang w:val="en-US"/>
        </w:rPr>
        <w:t>organisations</w:t>
      </w:r>
      <w:proofErr w:type="spellEnd"/>
      <w:r w:rsidRPr="006467CD">
        <w:rPr>
          <w:rFonts w:cstheme="minorHAnsi"/>
          <w:lang w:val="en-US"/>
        </w:rPr>
        <w:t xml:space="preserve"> and industries. </w:t>
      </w:r>
    </w:p>
    <w:p w14:paraId="4E14AD76" w14:textId="77777777" w:rsidR="006467CD" w:rsidRPr="006467CD" w:rsidRDefault="006467CD" w:rsidP="006467CD">
      <w:pPr>
        <w:jc w:val="both"/>
        <w:rPr>
          <w:rFonts w:cstheme="minorHAnsi"/>
          <w:lang w:val="en-US"/>
        </w:rPr>
      </w:pPr>
      <w:r w:rsidRPr="006467CD">
        <w:rPr>
          <w:rFonts w:cstheme="minorHAnsi"/>
          <w:lang w:val="en-US"/>
        </w:rPr>
        <w:t>Summary</w:t>
      </w:r>
    </w:p>
    <w:p w14:paraId="484F860F" w14:textId="0A4F7438" w:rsidR="001D3A93" w:rsidRDefault="006467CD" w:rsidP="006467CD">
      <w:pPr>
        <w:jc w:val="both"/>
        <w:rPr>
          <w:rFonts w:cstheme="minorHAnsi"/>
          <w:lang w:val="en-US"/>
        </w:rPr>
      </w:pPr>
      <w:r w:rsidRPr="006467CD">
        <w:rPr>
          <w:rFonts w:cstheme="minorHAnsi"/>
          <w:lang w:val="en-US"/>
        </w:rPr>
        <w:t>Our diversity policy is the foundation of our commitment to creating a fair, inclusive and innovative working environment. We believe that diversity drives our success and contributes to achieving our business and social goals. We are convinced that by implementing the above actions, we can create a workplace where every employee can develop his / her full potential, contributing to joint success.</w:t>
      </w:r>
    </w:p>
    <w:p w14:paraId="7B43F7CE" w14:textId="7F179F84" w:rsidR="00C534E5" w:rsidRPr="00C534E5" w:rsidRDefault="00C534E5" w:rsidP="00921EC4">
      <w:pPr>
        <w:jc w:val="both"/>
        <w:rPr>
          <w:rFonts w:cstheme="minorHAnsi"/>
          <w:lang w:val="en-US"/>
        </w:rPr>
      </w:pPr>
      <w:r w:rsidRPr="00C534E5">
        <w:rPr>
          <w:rFonts w:cstheme="minorHAnsi"/>
          <w:lang w:val="en-US"/>
        </w:rPr>
        <w:t>Michał Olesiński</w:t>
      </w:r>
    </w:p>
    <w:p w14:paraId="7A3C900E" w14:textId="798685CE" w:rsidR="00B63E0E" w:rsidRPr="00EF2659" w:rsidRDefault="00C534E5" w:rsidP="00C534E5">
      <w:pPr>
        <w:jc w:val="both"/>
        <w:rPr>
          <w:rFonts w:cstheme="minorHAnsi"/>
          <w:lang w:val="en-US"/>
        </w:rPr>
      </w:pPr>
      <w:r w:rsidRPr="00C534E5">
        <w:rPr>
          <w:rFonts w:cstheme="minorHAnsi"/>
          <w:lang w:val="en-US"/>
        </w:rPr>
        <w:t>The President of the Board &amp; CEO</w:t>
      </w:r>
    </w:p>
    <w:sectPr w:rsidR="00B63E0E" w:rsidRPr="00EF2659" w:rsidSect="00DE7652">
      <w:headerReference w:type="default" r:id="rId7"/>
      <w:footerReference w:type="default" r:id="rId8"/>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078F" w14:textId="77777777" w:rsidR="00FB152D" w:rsidRDefault="00FB152D" w:rsidP="00617F75">
      <w:pPr>
        <w:spacing w:after="0" w:line="240" w:lineRule="auto"/>
      </w:pPr>
      <w:r>
        <w:separator/>
      </w:r>
    </w:p>
  </w:endnote>
  <w:endnote w:type="continuationSeparator" w:id="0">
    <w:p w14:paraId="0CAF56C5" w14:textId="77777777" w:rsidR="00FB152D" w:rsidRDefault="00FB152D"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453C0B"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4F4E" w14:textId="77777777" w:rsidR="00FB152D" w:rsidRDefault="00FB152D" w:rsidP="00617F75">
      <w:pPr>
        <w:spacing w:after="0" w:line="240" w:lineRule="auto"/>
      </w:pPr>
      <w:r>
        <w:separator/>
      </w:r>
    </w:p>
  </w:footnote>
  <w:footnote w:type="continuationSeparator" w:id="0">
    <w:p w14:paraId="0566A956" w14:textId="77777777" w:rsidR="00FB152D" w:rsidRDefault="00FB152D"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2335"/>
    <w:multiLevelType w:val="hybridMultilevel"/>
    <w:tmpl w:val="30E4E944"/>
    <w:lvl w:ilvl="0" w:tplc="C9984818">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959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52995"/>
    <w:rsid w:val="00065296"/>
    <w:rsid w:val="000654BF"/>
    <w:rsid w:val="0009628A"/>
    <w:rsid w:val="000B5982"/>
    <w:rsid w:val="000D2522"/>
    <w:rsid w:val="000E151E"/>
    <w:rsid w:val="000F6A40"/>
    <w:rsid w:val="001578D7"/>
    <w:rsid w:val="0019538D"/>
    <w:rsid w:val="001A321A"/>
    <w:rsid w:val="001D3A93"/>
    <w:rsid w:val="001D73CB"/>
    <w:rsid w:val="002360E0"/>
    <w:rsid w:val="002422A3"/>
    <w:rsid w:val="0025011F"/>
    <w:rsid w:val="00266434"/>
    <w:rsid w:val="002918F3"/>
    <w:rsid w:val="002B1D43"/>
    <w:rsid w:val="002B59A2"/>
    <w:rsid w:val="002D1E39"/>
    <w:rsid w:val="002F2E05"/>
    <w:rsid w:val="00333674"/>
    <w:rsid w:val="00364461"/>
    <w:rsid w:val="003B0258"/>
    <w:rsid w:val="003D160D"/>
    <w:rsid w:val="00400A65"/>
    <w:rsid w:val="004209D4"/>
    <w:rsid w:val="004249BF"/>
    <w:rsid w:val="004313F8"/>
    <w:rsid w:val="00440EA7"/>
    <w:rsid w:val="00453C0B"/>
    <w:rsid w:val="004C7029"/>
    <w:rsid w:val="004D1C07"/>
    <w:rsid w:val="00542489"/>
    <w:rsid w:val="00561A49"/>
    <w:rsid w:val="00570385"/>
    <w:rsid w:val="00591250"/>
    <w:rsid w:val="00593EF6"/>
    <w:rsid w:val="00617F75"/>
    <w:rsid w:val="00621AC1"/>
    <w:rsid w:val="006467CD"/>
    <w:rsid w:val="00652D18"/>
    <w:rsid w:val="00667846"/>
    <w:rsid w:val="006C392A"/>
    <w:rsid w:val="006C70C9"/>
    <w:rsid w:val="007A386A"/>
    <w:rsid w:val="007A73A8"/>
    <w:rsid w:val="007E31C9"/>
    <w:rsid w:val="00800221"/>
    <w:rsid w:val="00835639"/>
    <w:rsid w:val="008775D1"/>
    <w:rsid w:val="00892390"/>
    <w:rsid w:val="008B406D"/>
    <w:rsid w:val="008C003A"/>
    <w:rsid w:val="008C3A0F"/>
    <w:rsid w:val="008E47CB"/>
    <w:rsid w:val="00921EC4"/>
    <w:rsid w:val="00A349AB"/>
    <w:rsid w:val="00A4617C"/>
    <w:rsid w:val="00A5301F"/>
    <w:rsid w:val="00A53C54"/>
    <w:rsid w:val="00A547F7"/>
    <w:rsid w:val="00AD249A"/>
    <w:rsid w:val="00AF7AFD"/>
    <w:rsid w:val="00B427E1"/>
    <w:rsid w:val="00B51884"/>
    <w:rsid w:val="00B63E0E"/>
    <w:rsid w:val="00C025C0"/>
    <w:rsid w:val="00C03357"/>
    <w:rsid w:val="00C0365A"/>
    <w:rsid w:val="00C3007A"/>
    <w:rsid w:val="00C32F39"/>
    <w:rsid w:val="00C41FFD"/>
    <w:rsid w:val="00C534E5"/>
    <w:rsid w:val="00C64D7B"/>
    <w:rsid w:val="00CB0641"/>
    <w:rsid w:val="00D0126C"/>
    <w:rsid w:val="00D02CAC"/>
    <w:rsid w:val="00D25EAF"/>
    <w:rsid w:val="00D60C5F"/>
    <w:rsid w:val="00DE7652"/>
    <w:rsid w:val="00DF0520"/>
    <w:rsid w:val="00DF1FF3"/>
    <w:rsid w:val="00E66A77"/>
    <w:rsid w:val="00E94B83"/>
    <w:rsid w:val="00EC4C1C"/>
    <w:rsid w:val="00ED1CE1"/>
    <w:rsid w:val="00ED4761"/>
    <w:rsid w:val="00EE7312"/>
    <w:rsid w:val="00EF2659"/>
    <w:rsid w:val="00F05AFD"/>
    <w:rsid w:val="00F8747A"/>
    <w:rsid w:val="00F96822"/>
    <w:rsid w:val="00FB1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 w:type="paragraph" w:styleId="Akapitzlist">
    <w:name w:val="List Paragraph"/>
    <w:basedOn w:val="Normalny"/>
    <w:uiPriority w:val="34"/>
    <w:qFormat/>
    <w:rsid w:val="00C3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508</Words>
  <Characters>3049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2025-05-27T14:10:00Z</dcterms:created>
  <dcterms:modified xsi:type="dcterms:W3CDTF">2025-05-27T14:10:00Z</dcterms:modified>
</cp:coreProperties>
</file>